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423D23">
      <w:pPr>
        <w:snapToGrid w:val="0"/>
        <w:spacing w:line="360" w:lineRule="auto"/>
        <w:jc w:val="center"/>
        <w:rPr>
          <w:rFonts w:ascii="宋体" w:hAnsi="宋体"/>
          <w:b/>
          <w:bCs/>
          <w:color w:val="auto"/>
          <w:sz w:val="24"/>
          <w:szCs w:val="24"/>
        </w:rPr>
      </w:pPr>
      <w:r>
        <w:rPr>
          <w:rFonts w:hint="eastAsia" w:ascii="宋体" w:hAnsi="宋体"/>
          <w:b/>
          <w:bCs/>
          <w:color w:val="auto"/>
          <w:sz w:val="36"/>
          <w:szCs w:val="36"/>
        </w:rPr>
        <w:t>阳光采购项目委托代理协议</w:t>
      </w:r>
    </w:p>
    <w:p w14:paraId="6F76D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t>委托单位</w:t>
      </w:r>
      <w:r>
        <w:rPr>
          <w:rFonts w:hint="eastAsia" w:ascii="宋体" w:hAnsi="宋体"/>
          <w:b/>
          <w:bCs/>
          <w:color w:val="auto"/>
          <w:sz w:val="24"/>
          <w:szCs w:val="24"/>
          <w:lang w:eastAsia="zh-CN"/>
        </w:rPr>
        <w:t>（</w:t>
      </w:r>
      <w:r>
        <w:rPr>
          <w:rFonts w:hint="eastAsia" w:ascii="宋体" w:hAnsi="宋体"/>
          <w:b/>
          <w:bCs/>
          <w:color w:val="auto"/>
          <w:sz w:val="24"/>
          <w:szCs w:val="24"/>
        </w:rPr>
        <w:t>以下简称“甲方”</w:t>
      </w:r>
      <w:r>
        <w:rPr>
          <w:rFonts w:hint="eastAsia" w:ascii="宋体" w:hAnsi="宋体"/>
          <w:b/>
          <w:bCs/>
          <w:color w:val="auto"/>
          <w:sz w:val="24"/>
          <w:szCs w:val="24"/>
          <w:lang w:eastAsia="zh-CN"/>
        </w:rPr>
        <w:t>）</w:t>
      </w:r>
      <w:r>
        <w:rPr>
          <w:rFonts w:hint="eastAsia" w:ascii="宋体" w:hAnsi="宋体"/>
          <w:b/>
          <w:bCs/>
          <w:color w:val="auto"/>
          <w:sz w:val="24"/>
          <w:szCs w:val="24"/>
        </w:rPr>
        <w:t>：</w:t>
      </w:r>
      <w:r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  <w:t>上饶市和济水务有限公司</w:t>
      </w:r>
    </w:p>
    <w:p w14:paraId="7DE5F2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hint="eastAsia" w:ascii="宋体" w:hAnsi="宋体" w:eastAsia="宋体"/>
          <w:color w:val="auto"/>
          <w:sz w:val="24"/>
          <w:szCs w:val="24"/>
          <w:lang w:eastAsia="zh-CN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t>受托单位（以下简称“乙方”）：</w:t>
      </w:r>
      <w:r>
        <w:rPr>
          <w:rFonts w:hint="eastAsia" w:ascii="宋体" w:hAnsi="宋体"/>
          <w:b/>
          <w:bCs/>
          <w:color w:val="auto"/>
          <w:sz w:val="24"/>
          <w:szCs w:val="24"/>
          <w:lang w:eastAsia="zh-CN"/>
        </w:rPr>
        <w:t>上饶</w:t>
      </w:r>
      <w:r>
        <w:rPr>
          <w:rFonts w:hint="eastAsia" w:ascii="宋体" w:hAnsi="宋体"/>
          <w:b/>
          <w:bCs/>
          <w:color w:val="auto"/>
          <w:sz w:val="24"/>
          <w:szCs w:val="24"/>
          <w:lang w:val="en-US" w:eastAsia="zh-CN"/>
        </w:rPr>
        <w:t>国属工程造价咨询</w:t>
      </w:r>
      <w:r>
        <w:rPr>
          <w:rFonts w:hint="eastAsia" w:ascii="宋体" w:hAnsi="宋体"/>
          <w:b/>
          <w:bCs/>
          <w:color w:val="auto"/>
          <w:sz w:val="24"/>
          <w:szCs w:val="24"/>
          <w:lang w:eastAsia="zh-CN"/>
        </w:rPr>
        <w:t>有限公司</w:t>
      </w:r>
    </w:p>
    <w:p w14:paraId="61E1B8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5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根据《中华人民共和国招投标法》、《中华人民共和国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民法典</w:t>
      </w:r>
      <w:r>
        <w:rPr>
          <w:rFonts w:hint="eastAsia" w:ascii="宋体" w:hAnsi="宋体"/>
          <w:color w:val="auto"/>
          <w:sz w:val="24"/>
          <w:szCs w:val="24"/>
        </w:rPr>
        <w:t>》等有关法律法规规定，甲方委托乙方组织实施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招标</w:t>
      </w:r>
      <w:r>
        <w:rPr>
          <w:rFonts w:hint="eastAsia" w:ascii="宋体" w:hAnsi="宋体"/>
          <w:color w:val="auto"/>
          <w:sz w:val="24"/>
          <w:szCs w:val="24"/>
        </w:rPr>
        <w:t>。乙方在甲方委托事项范围内依法组织实施。经甲乙双方协商一致，现就有关事宜达成如下协议：</w:t>
      </w:r>
      <w:r>
        <w:rPr>
          <w:rFonts w:ascii="宋体" w:hAnsi="宋体"/>
          <w:color w:val="auto"/>
          <w:sz w:val="24"/>
          <w:szCs w:val="24"/>
        </w:rPr>
        <w:t xml:space="preserve"> </w:t>
      </w:r>
    </w:p>
    <w:p w14:paraId="7934C2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hAnsi="宋体"/>
          <w:b w:val="0"/>
          <w:bCs w:val="0"/>
          <w:color w:val="auto"/>
          <w:sz w:val="24"/>
          <w:szCs w:val="24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t>一、委托事项</w:t>
      </w:r>
    </w:p>
    <w:tbl>
      <w:tblPr>
        <w:tblStyle w:val="5"/>
        <w:tblW w:w="95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3"/>
        <w:gridCol w:w="3368"/>
        <w:gridCol w:w="1647"/>
        <w:gridCol w:w="2987"/>
      </w:tblGrid>
      <w:tr w14:paraId="1D1A5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1523" w:type="dxa"/>
            <w:noWrap w:val="0"/>
            <w:vAlign w:val="center"/>
          </w:tcPr>
          <w:p w14:paraId="31735C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</w:rPr>
              <w:t>项目名称</w:t>
            </w:r>
          </w:p>
        </w:tc>
        <w:tc>
          <w:tcPr>
            <w:tcW w:w="8002" w:type="dxa"/>
            <w:gridSpan w:val="3"/>
            <w:noWrap w:val="0"/>
            <w:vAlign w:val="center"/>
          </w:tcPr>
          <w:p w14:paraId="59606D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both"/>
              <w:textAlignment w:val="auto"/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和济水务食堂劳务外包服务</w:t>
            </w:r>
          </w:p>
        </w:tc>
      </w:tr>
      <w:tr w14:paraId="3ADD1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3" w:type="dxa"/>
            <w:noWrap w:val="0"/>
            <w:vAlign w:val="center"/>
          </w:tcPr>
          <w:p w14:paraId="042444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预算金额</w:t>
            </w:r>
          </w:p>
        </w:tc>
        <w:tc>
          <w:tcPr>
            <w:tcW w:w="3368" w:type="dxa"/>
            <w:noWrap w:val="0"/>
            <w:vAlign w:val="center"/>
          </w:tcPr>
          <w:p w14:paraId="397B42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宋体" w:hAnsi="宋体" w:eastAsia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162000元</w:t>
            </w:r>
          </w:p>
        </w:tc>
        <w:tc>
          <w:tcPr>
            <w:tcW w:w="1647" w:type="dxa"/>
            <w:noWrap w:val="0"/>
            <w:vAlign w:val="center"/>
          </w:tcPr>
          <w:p w14:paraId="3E1F86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eastAsia="zh-CN"/>
              </w:rPr>
              <w:t>招标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类型</w:t>
            </w:r>
          </w:p>
        </w:tc>
        <w:tc>
          <w:tcPr>
            <w:tcW w:w="2987" w:type="dxa"/>
            <w:noWrap w:val="0"/>
            <w:vAlign w:val="center"/>
          </w:tcPr>
          <w:p w14:paraId="0DCC0E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120" w:firstLineChars="50"/>
              <w:jc w:val="center"/>
              <w:textAlignment w:val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 xml:space="preserve">货物     </w:t>
            </w:r>
            <w:r>
              <w:rPr>
                <w:rFonts w:hint="eastAsia" w:ascii="宋体" w:hAnsi="宋体"/>
                <w:color w:val="auto"/>
                <w:kern w:val="0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服务</w:t>
            </w:r>
          </w:p>
          <w:p w14:paraId="628DFA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120" w:firstLineChars="50"/>
              <w:jc w:val="center"/>
              <w:textAlignment w:val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 xml:space="preserve">工程     </w:t>
            </w:r>
            <w:r>
              <w:rPr>
                <w:rFonts w:hint="eastAsia" w:ascii="宋体" w:hAnsi="宋体"/>
                <w:color w:val="auto"/>
                <w:kern w:val="0"/>
                <w:sz w:val="24"/>
                <w:szCs w:val="24"/>
              </w:rPr>
              <w:t>□其他</w:t>
            </w:r>
          </w:p>
        </w:tc>
      </w:tr>
      <w:tr w14:paraId="3A2E7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3" w:type="dxa"/>
            <w:noWrap w:val="0"/>
            <w:vAlign w:val="center"/>
          </w:tcPr>
          <w:p w14:paraId="4E8850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招标方式</w:t>
            </w:r>
          </w:p>
        </w:tc>
        <w:tc>
          <w:tcPr>
            <w:tcW w:w="8002" w:type="dxa"/>
            <w:gridSpan w:val="3"/>
            <w:noWrap w:val="0"/>
            <w:vAlign w:val="top"/>
          </w:tcPr>
          <w:p w14:paraId="46A90D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 xml:space="preserve">公开招标       □邀请招标       □单一来源       </w:t>
            </w:r>
            <w:r>
              <w:rPr>
                <w:rFonts w:hint="eastAsia" w:ascii="宋体" w:hAnsi="宋体"/>
                <w:color w:val="auto"/>
                <w:kern w:val="0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 xml:space="preserve">竞争性谈判            </w:t>
            </w:r>
          </w:p>
          <w:p w14:paraId="1DEFD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eastAsia="zh-CN"/>
              </w:rPr>
              <w:t>☑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竞争性磋商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 xml:space="preserve">询价           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报价承诺法</w:t>
            </w:r>
          </w:p>
        </w:tc>
      </w:tr>
      <w:tr w14:paraId="5F077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3" w:type="dxa"/>
            <w:noWrap w:val="0"/>
            <w:vAlign w:val="center"/>
          </w:tcPr>
          <w:p w14:paraId="14342C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委托范围及内容</w:t>
            </w:r>
          </w:p>
        </w:tc>
        <w:tc>
          <w:tcPr>
            <w:tcW w:w="8002" w:type="dxa"/>
            <w:gridSpan w:val="3"/>
            <w:noWrap w:val="0"/>
            <w:vAlign w:val="top"/>
          </w:tcPr>
          <w:p w14:paraId="532AE5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协助甲方制定项目需求；招标（或采购）文件的编制、印刷、澄清；组织踏勘现场（如有）；接收投标（或响应）文件；组织开评标活动；向甲方递交评标结果；异议及质疑的答复（授权情况下）；备案材料整理及存档；按协议约定收取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eastAsia="zh-CN"/>
              </w:rPr>
              <w:t>招标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>代理服务费等相关工作。</w:t>
            </w:r>
          </w:p>
        </w:tc>
      </w:tr>
      <w:tr w14:paraId="3E42A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3" w:type="dxa"/>
            <w:noWrap w:val="0"/>
            <w:vAlign w:val="center"/>
          </w:tcPr>
          <w:p w14:paraId="3218A6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质疑答复授权</w:t>
            </w:r>
          </w:p>
        </w:tc>
        <w:tc>
          <w:tcPr>
            <w:tcW w:w="8002" w:type="dxa"/>
            <w:gridSpan w:val="3"/>
            <w:noWrap w:val="0"/>
            <w:vAlign w:val="center"/>
          </w:tcPr>
          <w:p w14:paraId="7D2F0A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☑委托代理机构答复           □不委托代理机构答复</w:t>
            </w:r>
          </w:p>
        </w:tc>
      </w:tr>
      <w:tr w14:paraId="6FBC6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23" w:type="dxa"/>
            <w:noWrap w:val="0"/>
            <w:vAlign w:val="center"/>
          </w:tcPr>
          <w:p w14:paraId="6807BB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委托期限</w:t>
            </w:r>
          </w:p>
        </w:tc>
        <w:tc>
          <w:tcPr>
            <w:tcW w:w="8002" w:type="dxa"/>
            <w:gridSpan w:val="3"/>
            <w:noWrap w:val="0"/>
            <w:vAlign w:val="top"/>
          </w:tcPr>
          <w:p w14:paraId="49C648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>本项目委托期限自协议签订之日起至全部代理服务工作结束止</w:t>
            </w:r>
          </w:p>
        </w:tc>
      </w:tr>
    </w:tbl>
    <w:p w14:paraId="009645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hAnsi="宋体"/>
          <w:b/>
          <w:bCs/>
          <w:color w:val="auto"/>
          <w:sz w:val="24"/>
          <w:szCs w:val="24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t>二、双方的权利及义务</w:t>
      </w:r>
    </w:p>
    <w:p w14:paraId="1F9831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41" w:firstLineChars="100"/>
        <w:textAlignment w:val="auto"/>
        <w:rPr>
          <w:rFonts w:ascii="宋体" w:hAnsi="宋体"/>
          <w:b/>
          <w:bCs/>
          <w:color w:val="auto"/>
          <w:sz w:val="24"/>
          <w:szCs w:val="24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t>1.甲方的权利及义务：</w:t>
      </w:r>
    </w:p>
    <w:p w14:paraId="34626B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color w:val="auto"/>
          <w:sz w:val="24"/>
          <w:szCs w:val="24"/>
          <w:highlight w:val="none"/>
        </w:rPr>
        <w:t>1.1甲方委托</w:t>
      </w:r>
      <w:r>
        <w:rPr>
          <w:rFonts w:hint="eastAsia" w:ascii="宋体" w:hAnsi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黄春华 </w:t>
      </w:r>
      <w:bookmarkStart w:id="0" w:name="_GoBack"/>
      <w:bookmarkEnd w:id="0"/>
      <w:r>
        <w:rPr>
          <w:rFonts w:hint="eastAsia" w:ascii="宋体" w:hAnsi="宋体"/>
          <w:color w:val="auto"/>
          <w:sz w:val="24"/>
          <w:szCs w:val="24"/>
          <w:highlight w:val="none"/>
        </w:rPr>
        <w:t>作为该项目招标（或采购）工作甲方授权代表，联络和处理该项目招标（或采购）工作中的有关事宜，联系电话：</w:t>
      </w:r>
      <w:r>
        <w:rPr>
          <w:rFonts w:hint="eastAsia" w:ascii="宋体" w:hAnsi="宋体" w:cs="Times New Roman"/>
          <w:color w:val="auto"/>
          <w:sz w:val="24"/>
          <w:szCs w:val="24"/>
          <w:highlight w:val="none"/>
          <w:u w:val="single"/>
          <w:lang w:val="en-US" w:eastAsia="zh-CN"/>
        </w:rPr>
        <w:t>15397849128</w:t>
      </w:r>
      <w:r>
        <w:rPr>
          <w:rFonts w:hint="eastAsia" w:ascii="宋体" w:hAnsi="宋体"/>
          <w:color w:val="auto"/>
          <w:sz w:val="24"/>
          <w:szCs w:val="24"/>
          <w:highlight w:val="none"/>
        </w:rPr>
        <w:t>。</w:t>
      </w:r>
    </w:p>
    <w:p w14:paraId="323230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1.2甲方应向乙方提供委托项目的用户需求书，包括详细的</w:t>
      </w:r>
      <w:r>
        <w:rPr>
          <w:rFonts w:hint="eastAsia" w:ascii="宋体" w:hAnsi="宋体"/>
          <w:color w:val="auto"/>
          <w:sz w:val="24"/>
          <w:szCs w:val="24"/>
          <w:lang w:eastAsia="zh-CN"/>
        </w:rPr>
        <w:t>招标</w:t>
      </w:r>
      <w:r>
        <w:rPr>
          <w:rFonts w:hint="eastAsia" w:ascii="宋体" w:hAnsi="宋体"/>
          <w:color w:val="auto"/>
          <w:sz w:val="24"/>
          <w:szCs w:val="24"/>
        </w:rPr>
        <w:t>清单、技术规格、参数要求和相关服务内容等书面材料。</w:t>
      </w:r>
    </w:p>
    <w:p w14:paraId="0C1C8E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1.3甲方有权就委托的项目提出合法、合理的要求，但不得指定供应商或指定品牌，不得提出含有倾向性、限制性或者排斥潜在投标人（或供应商）的要求。</w:t>
      </w:r>
    </w:p>
    <w:p w14:paraId="5882E6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1.4甲方应对乙方编制的招标（或采购）文件予以审核并签字（或盖章）确认。</w:t>
      </w:r>
    </w:p>
    <w:p w14:paraId="48F395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1.5若招标（或采购）的为进口产品，需向乙方提供进口产品申报材料一份。</w:t>
      </w:r>
    </w:p>
    <w:p w14:paraId="1FCAEC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1.6协助乙方与主管单位进行工作沟通。</w:t>
      </w:r>
    </w:p>
    <w:p w14:paraId="195DE7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1.7甲方有权安排相关人员参加开标活动并对招标（或采购）活动进行监督。法律允许情况下，甲方有权指派有关人员出任评标委员会（或磋商、谈判、询价小组）成员，但甲方指派人数不超过总人数的1/3。</w:t>
      </w:r>
    </w:p>
    <w:p w14:paraId="040D6D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1.8甲方有权按照评审报告中推荐的中标候选人（或成交候选供应商）顺序确定中标人（或成交供应商）。</w:t>
      </w:r>
    </w:p>
    <w:p w14:paraId="35786B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1.9按法律法规要求与中标（成交）供应商签订合同，并负责组织合同的实施。</w:t>
      </w:r>
    </w:p>
    <w:p w14:paraId="1E6FBB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1.10依法组织本项目的履约验收并向乙方提供验收报告及验收单一份。</w:t>
      </w:r>
    </w:p>
    <w:p w14:paraId="317017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41" w:firstLineChars="100"/>
        <w:textAlignment w:val="auto"/>
        <w:rPr>
          <w:rFonts w:ascii="宋体" w:hAnsi="宋体"/>
          <w:b/>
          <w:bCs/>
          <w:color w:val="auto"/>
          <w:sz w:val="24"/>
          <w:szCs w:val="24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t>2.乙方的权利及义务</w:t>
      </w:r>
    </w:p>
    <w:p w14:paraId="24EF05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2.1乙方委派</w:t>
      </w:r>
      <w:r>
        <w:rPr>
          <w:rFonts w:hint="eastAsia" w:ascii="宋体" w:hAnsi="宋体"/>
          <w:color w:val="auto"/>
          <w:sz w:val="24"/>
          <w:szCs w:val="24"/>
          <w:u w:val="single"/>
          <w:lang w:val="en-US" w:eastAsia="zh-CN"/>
        </w:rPr>
        <w:t xml:space="preserve"> 祝青青 </w:t>
      </w:r>
      <w:r>
        <w:rPr>
          <w:rFonts w:hint="eastAsia" w:ascii="宋体" w:hAnsi="宋体"/>
          <w:color w:val="auto"/>
          <w:sz w:val="24"/>
          <w:szCs w:val="24"/>
        </w:rPr>
        <w:t>作为该项目招标（或采购）工作的项目负责人，联络和处理该项目招标（或采购）工作中的有关事宜，联系电话：</w:t>
      </w:r>
      <w:r>
        <w:rPr>
          <w:rFonts w:hint="eastAsia" w:ascii="宋体" w:hAnsi="宋体"/>
          <w:color w:val="auto"/>
          <w:sz w:val="24"/>
          <w:szCs w:val="24"/>
          <w:u w:val="single"/>
          <w:lang w:val="en-US" w:eastAsia="zh-CN"/>
        </w:rPr>
        <w:t xml:space="preserve"> 19065851658 </w:t>
      </w:r>
      <w:r>
        <w:rPr>
          <w:rFonts w:hint="eastAsia" w:ascii="宋体" w:hAnsi="宋体"/>
          <w:color w:val="auto"/>
          <w:sz w:val="24"/>
          <w:szCs w:val="24"/>
        </w:rPr>
        <w:t>。</w:t>
      </w:r>
    </w:p>
    <w:p w14:paraId="084C17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2.2在甲方授权的范围内，依法从事本项目的招标（或采购）工作。</w:t>
      </w:r>
    </w:p>
    <w:p w14:paraId="3CBC87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2.3按照甲方的委托，精心设计和组织本项目的招标（或采购）工作，并及时向甲方通报招标（或采购）计划和进度，保证招标（或采购）计划的顺利实施。</w:t>
      </w:r>
    </w:p>
    <w:p w14:paraId="6EEDA6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2.4协助甲方制定项目需求。负责编制招标（或采购）文件，并对招标（或采购）文件进行解释。</w:t>
      </w:r>
    </w:p>
    <w:p w14:paraId="6D0E4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2.5依法在指定媒体上刊登招标（或采购）公告，并向潜在的投标人（或供应商）发出邀请。</w:t>
      </w:r>
    </w:p>
    <w:p w14:paraId="54C9A1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2.6依法组建评审委员会，组织开标和评审活动。负责向中标人（或成交供应商）发放中标（成交）通知书，协助甲方签订合同及履约验收。</w:t>
      </w:r>
    </w:p>
    <w:p w14:paraId="5F097D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2.7乙方在甲方授权范围内对供应商的询问及质疑进行回复。</w:t>
      </w:r>
    </w:p>
    <w:p w14:paraId="7FC0AC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2.8依法按协议约定收取代理服务费。</w:t>
      </w:r>
    </w:p>
    <w:p w14:paraId="5BB355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41" w:firstLineChars="100"/>
        <w:textAlignment w:val="auto"/>
        <w:rPr>
          <w:rFonts w:ascii="宋体" w:hAnsi="宋体"/>
          <w:b/>
          <w:bCs/>
          <w:color w:val="auto"/>
          <w:sz w:val="24"/>
          <w:szCs w:val="24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t>3.双方的共同责任：</w:t>
      </w:r>
    </w:p>
    <w:p w14:paraId="72E61C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3.1甲乙双方应根据中国法律建立委托代理关系，严格执行中国的有关法律法规。</w:t>
      </w:r>
    </w:p>
    <w:p w14:paraId="6F087F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3.2在招标（或采购）活动进行过程中和招标（或采购）活动完成后，甲乙双方均有责任对本次招标（或采购）活动的有关商业机密进行保密。</w:t>
      </w:r>
    </w:p>
    <w:p w14:paraId="60BC54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textAlignment w:val="auto"/>
        <w:rPr>
          <w:rFonts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3.3未经甲方同意，乙方不得将代理义务转移任何第三方。</w:t>
      </w:r>
    </w:p>
    <w:p w14:paraId="737D76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hAnsi="宋体"/>
          <w:b/>
          <w:bCs/>
          <w:color w:val="auto"/>
          <w:sz w:val="24"/>
          <w:szCs w:val="24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t>五、服务报酬</w:t>
      </w:r>
    </w:p>
    <w:p w14:paraId="154C5B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40" w:firstLineChars="100"/>
        <w:textAlignment w:val="auto"/>
        <w:rPr>
          <w:rFonts w:ascii="宋体" w:hAnsi="宋体"/>
          <w:bCs/>
          <w:color w:val="auto"/>
          <w:sz w:val="24"/>
          <w:szCs w:val="24"/>
        </w:rPr>
      </w:pPr>
      <w:r>
        <w:rPr>
          <w:rFonts w:hint="eastAsia" w:ascii="宋体" w:hAnsi="宋体"/>
          <w:bCs/>
          <w:color w:val="auto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bCs/>
          <w:color w:val="auto"/>
          <w:sz w:val="24"/>
          <w:szCs w:val="24"/>
        </w:rPr>
        <w:t>.中标（或成交）通知书发出前，乙方应向</w:t>
      </w:r>
      <w:r>
        <w:rPr>
          <w:rFonts w:hint="eastAsia" w:ascii="宋体" w:hAnsi="宋体"/>
          <w:bCs/>
          <w:color w:val="auto"/>
          <w:sz w:val="24"/>
          <w:szCs w:val="24"/>
          <w:lang w:eastAsia="zh-CN"/>
        </w:rPr>
        <w:t>□招标</w:t>
      </w:r>
      <w:r>
        <w:rPr>
          <w:rFonts w:hint="eastAsia" w:ascii="宋体" w:hAnsi="宋体"/>
          <w:bCs/>
          <w:color w:val="auto"/>
          <w:sz w:val="24"/>
          <w:szCs w:val="24"/>
        </w:rPr>
        <w:t>人</w:t>
      </w:r>
      <w:r>
        <w:rPr>
          <w:rFonts w:hint="eastAsia" w:ascii="宋体" w:hAnsi="宋体"/>
          <w:bCs/>
          <w:color w:val="auto"/>
          <w:sz w:val="24"/>
          <w:szCs w:val="24"/>
          <w:lang w:val="en-US" w:eastAsia="zh-CN"/>
        </w:rPr>
        <w:t>/</w:t>
      </w:r>
      <w:r>
        <w:rPr>
          <w:rFonts w:hint="eastAsia" w:ascii="宋体" w:hAnsi="宋体"/>
          <w:bCs/>
          <w:color w:val="auto"/>
          <w:sz w:val="24"/>
          <w:szCs w:val="24"/>
          <w:lang w:eastAsia="zh-CN"/>
        </w:rPr>
        <w:t>☑</w:t>
      </w:r>
      <w:r>
        <w:rPr>
          <w:rFonts w:hint="eastAsia" w:ascii="宋体" w:hAnsi="宋体"/>
          <w:bCs/>
          <w:color w:val="auto"/>
          <w:sz w:val="24"/>
          <w:szCs w:val="24"/>
        </w:rPr>
        <w:t>中标（或成交）供应商收取</w:t>
      </w:r>
      <w:r>
        <w:rPr>
          <w:rFonts w:hint="eastAsia" w:ascii="宋体" w:hAnsi="宋体"/>
          <w:bCs/>
          <w:color w:val="auto"/>
          <w:sz w:val="24"/>
          <w:szCs w:val="24"/>
          <w:lang w:eastAsia="zh-CN"/>
        </w:rPr>
        <w:t>招标</w:t>
      </w:r>
      <w:r>
        <w:rPr>
          <w:rFonts w:hint="eastAsia" w:ascii="宋体" w:hAnsi="宋体"/>
          <w:bCs/>
          <w:color w:val="auto"/>
          <w:sz w:val="24"/>
          <w:szCs w:val="24"/>
        </w:rPr>
        <w:t>代理服务费。</w:t>
      </w:r>
    </w:p>
    <w:p w14:paraId="2B047B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40" w:firstLineChars="100"/>
        <w:textAlignment w:val="auto"/>
        <w:rPr>
          <w:rFonts w:hint="default" w:ascii="宋体" w:hAnsi="宋体" w:cs="宋体"/>
          <w:color w:val="auto"/>
          <w:kern w:val="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/>
          <w:bCs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/>
          <w:bCs/>
          <w:color w:val="auto"/>
          <w:sz w:val="24"/>
          <w:szCs w:val="24"/>
        </w:rPr>
        <w:t>本项目代理服务费:</w:t>
      </w:r>
      <w:r>
        <w:rPr>
          <w:rFonts w:hint="eastAsia" w:ascii="宋体" w:hAnsi="宋体"/>
          <w:color w:val="auto"/>
          <w:kern w:val="0"/>
          <w:sz w:val="24"/>
          <w:szCs w:val="24"/>
        </w:rPr>
        <w:t xml:space="preserve"> </w:t>
      </w:r>
      <w:r>
        <w:rPr>
          <w:rFonts w:hint="eastAsia" w:ascii="宋体" w:hAnsi="宋体"/>
          <w:color w:val="auto"/>
          <w:kern w:val="0"/>
          <w:sz w:val="24"/>
          <w:szCs w:val="24"/>
          <w:lang w:eastAsia="zh-CN"/>
        </w:rPr>
        <w:t>☑</w:t>
      </w:r>
      <w:r>
        <w:rPr>
          <w:rFonts w:hint="eastAsia" w:ascii="宋体" w:hAnsi="宋体"/>
          <w:color w:val="auto"/>
          <w:kern w:val="0"/>
          <w:sz w:val="24"/>
          <w:szCs w:val="24"/>
        </w:rPr>
        <w:t>费用参照标准按计价格[2002]1980号、发改价格[2011]534号文执行，代理费服务不足2000元的按2000元收取，由中标单位向招标代理机构支付。</w:t>
      </w:r>
    </w:p>
    <w:p w14:paraId="335114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hAnsi="宋体"/>
          <w:b/>
          <w:bCs/>
          <w:color w:val="auto"/>
          <w:sz w:val="24"/>
          <w:szCs w:val="24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t>六、违约责任、争议的解决</w:t>
      </w:r>
    </w:p>
    <w:p w14:paraId="6975E7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40" w:firstLineChars="100"/>
        <w:textAlignment w:val="auto"/>
        <w:rPr>
          <w:rFonts w:ascii="宋体" w:hAnsi="宋体"/>
          <w:bCs/>
          <w:color w:val="auto"/>
          <w:sz w:val="24"/>
          <w:szCs w:val="24"/>
        </w:rPr>
      </w:pPr>
      <w:r>
        <w:rPr>
          <w:rFonts w:hint="eastAsia" w:ascii="宋体" w:hAnsi="宋体"/>
          <w:bCs/>
          <w:color w:val="auto"/>
          <w:sz w:val="24"/>
          <w:szCs w:val="24"/>
        </w:rPr>
        <w:t>1.在招标（或采购）过程中，如一方违背有关法律法规或本协议的规定，另一方有权终止本协议书，造成的损失由对方承担。</w:t>
      </w:r>
    </w:p>
    <w:p w14:paraId="0BE519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40" w:firstLineChars="100"/>
        <w:textAlignment w:val="auto"/>
        <w:rPr>
          <w:rFonts w:hint="eastAsia" w:ascii="宋体" w:hAnsi="宋体"/>
          <w:bCs/>
          <w:color w:val="auto"/>
          <w:sz w:val="24"/>
          <w:szCs w:val="24"/>
        </w:rPr>
      </w:pPr>
      <w:r>
        <w:rPr>
          <w:rFonts w:hint="eastAsia" w:ascii="宋体" w:hAnsi="宋体"/>
          <w:bCs/>
          <w:color w:val="auto"/>
          <w:sz w:val="24"/>
          <w:szCs w:val="24"/>
        </w:rPr>
        <w:t>2.任何一方因违约给对方造成的经济损失，双方可通过协商解决，协调不成，提交甲方所在地有管辖权法院诉讼程序解决。</w:t>
      </w:r>
    </w:p>
    <w:p w14:paraId="17A504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hAnsi="宋体"/>
          <w:b/>
          <w:bCs/>
          <w:color w:val="auto"/>
          <w:sz w:val="24"/>
          <w:szCs w:val="24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t>七、协议生效、变更与终止</w:t>
      </w:r>
    </w:p>
    <w:p w14:paraId="39458E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40" w:firstLineChars="100"/>
        <w:textAlignment w:val="auto"/>
        <w:rPr>
          <w:rFonts w:ascii="宋体" w:hAnsi="宋体"/>
          <w:bCs/>
          <w:color w:val="auto"/>
          <w:sz w:val="24"/>
          <w:szCs w:val="24"/>
        </w:rPr>
      </w:pPr>
      <w:r>
        <w:rPr>
          <w:rFonts w:hint="eastAsia" w:ascii="宋体" w:hAnsi="宋体"/>
          <w:bCs/>
          <w:color w:val="auto"/>
          <w:sz w:val="24"/>
          <w:szCs w:val="24"/>
        </w:rPr>
        <w:t>1.本协议自甲乙双方签字并盖章后生效，双方全面履行协议义务后，本协议自动终止。</w:t>
      </w:r>
    </w:p>
    <w:p w14:paraId="1D4C2F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40" w:firstLineChars="100"/>
        <w:textAlignment w:val="auto"/>
        <w:rPr>
          <w:rFonts w:ascii="宋体" w:hAnsi="宋体"/>
          <w:bCs/>
          <w:color w:val="auto"/>
          <w:sz w:val="24"/>
          <w:szCs w:val="24"/>
        </w:rPr>
      </w:pPr>
      <w:r>
        <w:rPr>
          <w:rFonts w:hint="eastAsia" w:ascii="宋体" w:hAnsi="宋体"/>
          <w:bCs/>
          <w:color w:val="auto"/>
          <w:sz w:val="24"/>
          <w:szCs w:val="24"/>
        </w:rPr>
        <w:t>2.甲乙双方在协商一致的情况下，可以在法律法规许可范围内对委托协议做出变更，如做出变更的应当签订补充协议；如发生不可抗力或重大变故等原因，致使招标（或采购）项目发生更改或取消的，应当签订补充协议或终止协议。</w:t>
      </w:r>
    </w:p>
    <w:p w14:paraId="1712ED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宋体" w:hAnsi="宋体"/>
          <w:b/>
          <w:bCs/>
          <w:color w:val="auto"/>
          <w:sz w:val="24"/>
          <w:szCs w:val="24"/>
        </w:rPr>
      </w:pPr>
      <w:r>
        <w:rPr>
          <w:rFonts w:hint="eastAsia" w:ascii="宋体" w:hAnsi="宋体"/>
          <w:b/>
          <w:bCs/>
          <w:color w:val="auto"/>
          <w:sz w:val="24"/>
          <w:szCs w:val="24"/>
        </w:rPr>
        <w:t>八、其他</w:t>
      </w:r>
    </w:p>
    <w:p w14:paraId="154C97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40" w:firstLineChars="100"/>
        <w:textAlignment w:val="auto"/>
        <w:rPr>
          <w:rFonts w:ascii="宋体" w:hAnsi="宋体"/>
          <w:bCs/>
          <w:color w:val="auto"/>
          <w:sz w:val="24"/>
          <w:szCs w:val="24"/>
        </w:rPr>
      </w:pPr>
      <w:r>
        <w:rPr>
          <w:rFonts w:hint="eastAsia" w:ascii="宋体" w:hAnsi="宋体"/>
          <w:bCs/>
          <w:color w:val="auto"/>
          <w:sz w:val="24"/>
          <w:szCs w:val="24"/>
        </w:rPr>
        <w:t>1.未经过书面同意，甲乙双方均不得转让本协议规定的权利和义务。</w:t>
      </w:r>
    </w:p>
    <w:p w14:paraId="5BF030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40" w:firstLineChars="100"/>
        <w:textAlignment w:val="auto"/>
        <w:rPr>
          <w:rFonts w:ascii="宋体" w:hAnsi="宋体"/>
          <w:bCs/>
          <w:color w:val="auto"/>
          <w:sz w:val="24"/>
          <w:szCs w:val="24"/>
        </w:rPr>
      </w:pPr>
      <w:r>
        <w:rPr>
          <w:rFonts w:hint="eastAsia" w:ascii="宋体" w:hAnsi="宋体"/>
          <w:bCs/>
          <w:color w:val="auto"/>
          <w:sz w:val="24"/>
          <w:szCs w:val="24"/>
        </w:rPr>
        <w:t>2.本协议任何文件内容的修改或补充，均须经双方协商一致后以书面形式确认，否则不发生效力。</w:t>
      </w:r>
    </w:p>
    <w:p w14:paraId="568B03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40" w:firstLineChars="100"/>
        <w:textAlignment w:val="auto"/>
        <w:rPr>
          <w:rFonts w:ascii="宋体" w:hAnsi="宋体"/>
          <w:bCs/>
          <w:color w:val="auto"/>
          <w:sz w:val="24"/>
          <w:szCs w:val="24"/>
        </w:rPr>
      </w:pPr>
      <w:r>
        <w:rPr>
          <w:rFonts w:hint="eastAsia" w:ascii="宋体" w:hAnsi="宋体"/>
          <w:bCs/>
          <w:color w:val="auto"/>
          <w:sz w:val="24"/>
          <w:szCs w:val="24"/>
        </w:rPr>
        <w:t>3.本协议</w:t>
      </w:r>
      <w:r>
        <w:rPr>
          <w:rFonts w:ascii="宋体" w:hAnsi="宋体" w:cs="Arial"/>
          <w:color w:val="auto"/>
          <w:sz w:val="24"/>
        </w:rPr>
        <w:t>一式</w:t>
      </w:r>
      <w:r>
        <w:rPr>
          <w:rFonts w:hint="eastAsia" w:ascii="宋体" w:hAnsi="宋体" w:cs="Arial"/>
          <w:color w:val="auto"/>
          <w:sz w:val="24"/>
          <w:lang w:val="en-US" w:eastAsia="zh-CN"/>
        </w:rPr>
        <w:t>肆</w:t>
      </w:r>
      <w:r>
        <w:rPr>
          <w:rFonts w:ascii="宋体" w:hAnsi="宋体" w:cs="Arial"/>
          <w:color w:val="auto"/>
          <w:sz w:val="24"/>
        </w:rPr>
        <w:t>份，甲方执</w:t>
      </w:r>
      <w:r>
        <w:rPr>
          <w:rFonts w:hint="eastAsia" w:ascii="宋体" w:hAnsi="宋体" w:cs="Arial"/>
          <w:color w:val="auto"/>
          <w:sz w:val="24"/>
          <w:lang w:val="en-US" w:eastAsia="zh-CN"/>
        </w:rPr>
        <w:t>贰</w:t>
      </w:r>
      <w:r>
        <w:rPr>
          <w:rFonts w:ascii="宋体" w:hAnsi="宋体" w:cs="Arial"/>
          <w:color w:val="auto"/>
          <w:sz w:val="24"/>
        </w:rPr>
        <w:t>份</w:t>
      </w:r>
      <w:r>
        <w:rPr>
          <w:rFonts w:hint="eastAsia" w:ascii="宋体" w:hAnsi="宋体" w:cs="Arial"/>
          <w:color w:val="auto"/>
          <w:sz w:val="24"/>
          <w:lang w:eastAsia="zh-CN"/>
        </w:rPr>
        <w:t>，乙方执贰份</w:t>
      </w:r>
      <w:r>
        <w:rPr>
          <w:rFonts w:hint="eastAsia" w:ascii="宋体" w:hAnsi="宋体"/>
          <w:bCs/>
          <w:color w:val="auto"/>
          <w:sz w:val="24"/>
          <w:szCs w:val="24"/>
        </w:rPr>
        <w:t>。</w:t>
      </w:r>
    </w:p>
    <w:p w14:paraId="47C7AF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240" w:firstLineChars="100"/>
        <w:textAlignment w:val="auto"/>
        <w:rPr>
          <w:rFonts w:ascii="宋体" w:hAnsi="宋体"/>
          <w:bCs/>
          <w:color w:val="auto"/>
          <w:sz w:val="24"/>
          <w:szCs w:val="24"/>
        </w:rPr>
      </w:pPr>
      <w:r>
        <w:rPr>
          <w:rFonts w:hint="eastAsia" w:ascii="宋体" w:hAnsi="宋体"/>
          <w:bCs/>
          <w:color w:val="auto"/>
          <w:sz w:val="24"/>
          <w:szCs w:val="24"/>
        </w:rPr>
        <w:t>4.其他未尽事宜由双方协商后解决。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43A52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0" w:hRule="atLeast"/>
          <w:jc w:val="center"/>
        </w:trPr>
        <w:tc>
          <w:tcPr>
            <w:tcW w:w="5000" w:type="pct"/>
            <w:noWrap w:val="0"/>
            <w:vAlign w:val="top"/>
          </w:tcPr>
          <w:p w14:paraId="53E2BFEA">
            <w:pPr>
              <w:snapToGrid w:val="0"/>
              <w:spacing w:line="360" w:lineRule="auto"/>
              <w:ind w:left="7200" w:hanging="7200" w:hangingChars="3000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  <w:p w14:paraId="12E29276">
            <w:pPr>
              <w:snapToGrid w:val="0"/>
              <w:spacing w:line="360" w:lineRule="auto"/>
              <w:ind w:left="7200" w:hanging="7200" w:hangingChars="3000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  <w:p w14:paraId="7344303D">
            <w:pPr>
              <w:snapToGrid w:val="0"/>
              <w:spacing w:line="360" w:lineRule="auto"/>
              <w:ind w:left="7200" w:hanging="7200" w:hangingChars="3000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</w:rPr>
              <w:t xml:space="preserve">甲方（盖章）：                         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 xml:space="preserve">   乙方（盖章）：</w:t>
            </w:r>
          </w:p>
          <w:p w14:paraId="28659FA7">
            <w:pPr>
              <w:snapToGrid w:val="0"/>
              <w:spacing w:line="360" w:lineRule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</w:p>
          <w:p w14:paraId="62F3BA30">
            <w:pPr>
              <w:snapToGrid w:val="0"/>
              <w:spacing w:line="360" w:lineRule="auto"/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</w:pPr>
          </w:p>
          <w:p w14:paraId="24E1DBFD">
            <w:pPr>
              <w:snapToGrid w:val="0"/>
              <w:spacing w:line="480" w:lineRule="auto"/>
              <w:rPr>
                <w:rFonts w:ascii="宋体" w:hAnsi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2025年   月   日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 xml:space="preserve">                       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24"/>
                <w:szCs w:val="24"/>
                <w:lang w:val="en-US" w:eastAsia="zh-CN"/>
              </w:rPr>
              <w:t>2025年   月   日</w:t>
            </w:r>
          </w:p>
        </w:tc>
      </w:tr>
    </w:tbl>
    <w:p w14:paraId="51DE4FB7">
      <w:pPr>
        <w:pStyle w:val="3"/>
        <w:spacing w:before="0" w:after="0" w:line="360" w:lineRule="auto"/>
        <w:rPr>
          <w:rFonts w:hint="eastAsia" w:ascii="Calibri" w:hAnsi="Calibri" w:eastAsia="宋体" w:cs="Times New Roman"/>
          <w:b/>
          <w:color w:val="auto"/>
          <w:kern w:val="2"/>
          <w:sz w:val="21"/>
          <w:szCs w:val="21"/>
          <w:lang w:val="en-US" w:eastAsia="zh-CN" w:bidi="ar-SA"/>
        </w:rPr>
      </w:pPr>
    </w:p>
    <w:p w14:paraId="7AF55D52"/>
    <w:sectPr>
      <w:footerReference r:id="rId3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572797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9653128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653128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6F575C"/>
    <w:rsid w:val="131F7556"/>
    <w:rsid w:val="1AB00F0D"/>
    <w:rsid w:val="1B55439C"/>
    <w:rsid w:val="1D670836"/>
    <w:rsid w:val="1F8628A3"/>
    <w:rsid w:val="22F859BC"/>
    <w:rsid w:val="25D15F50"/>
    <w:rsid w:val="36DA5D5B"/>
    <w:rsid w:val="5AC21005"/>
    <w:rsid w:val="63386E58"/>
    <w:rsid w:val="67A10455"/>
    <w:rsid w:val="6FCC364D"/>
    <w:rsid w:val="76714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3" w:lineRule="auto"/>
      <w:outlineLvl w:val="1"/>
    </w:pPr>
    <w:rPr>
      <w:rFonts w:hint="eastAsia" w:ascii="仿宋_GB2312" w:hAnsi="Arial" w:eastAsia="仿宋_GB2312"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1937</Words>
  <Characters>2049</Characters>
  <Lines>0</Lines>
  <Paragraphs>0</Paragraphs>
  <TotalTime>2</TotalTime>
  <ScaleCrop>false</ScaleCrop>
  <LinksUpToDate>false</LinksUpToDate>
  <CharactersWithSpaces>2199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2024-07-05T08:18:00Z</dcterms:created>
  <dc:creator>Lenovo</dc:creator>
  <cp:lastModifiedBy>AB</cp:lastModifiedBy>
  <dcterms:modified xsi:type="dcterms:W3CDTF">2025-12-08T02:12:21Z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9E8D5629EA494C3FB5DA0D260E9EF2D5_12</vt:lpwstr>
  </property>
  <property fmtid="{D5CDD505-2E9C-101B-9397-08002B2CF9AE}" pid="4" name="KSOTemplateDocerSaveRecord">
    <vt:lpwstr>eyJoZGlkIjoiZWNmMzEwNGVjODI2M2MxYzgzZDBiZGIxNTIwNmU1MDciLCJ1c2VySWQiOiIxOTA3MzcwNzIifQ==</vt:lpwstr>
  </property>
</Properties>
</file>