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F3CC8">
      <w:pPr>
        <w:snapToGrid w:val="0"/>
        <w:spacing w:line="360" w:lineRule="auto"/>
        <w:jc w:val="center"/>
        <w:outlineLvl w:val="9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和济水务食堂劳务外包服务项目（项目编号：GSZJ2025-SR-047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）</w:t>
      </w:r>
    </w:p>
    <w:p w14:paraId="23C49FE7">
      <w:pPr>
        <w:snapToGrid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竞争性磋商采购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公告</w:t>
      </w:r>
    </w:p>
    <w:p w14:paraId="3813057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6058"/>
      <w:bookmarkStart w:id="1" w:name="_Toc31507"/>
      <w:bookmarkStart w:id="2" w:name="_Toc2354"/>
      <w:bookmarkStart w:id="3" w:name="_Toc12585"/>
      <w:bookmarkStart w:id="4" w:name="_Toc29419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一、项目概况</w:t>
      </w:r>
      <w:bookmarkEnd w:id="0"/>
      <w:bookmarkEnd w:id="1"/>
      <w:bookmarkEnd w:id="2"/>
      <w:bookmarkEnd w:id="3"/>
      <w:bookmarkEnd w:id="4"/>
    </w:p>
    <w:p w14:paraId="364D74C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>和济水务食堂劳务外包服务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none"/>
          <w:shd w:val="clear" w:color="auto" w:fill="FFFFFF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shd w:val="clear" w:color="auto" w:fill="FFFFFF"/>
        </w:rPr>
        <w:t>的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潜在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应在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none"/>
          <w:lang w:eastAsia="zh-CN"/>
        </w:rPr>
        <w:t>上饶市阳光采购服务平台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none"/>
          <w:lang w:val="en-US" w:eastAsia="zh-CN"/>
        </w:rPr>
        <w:t>确认并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获取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，并于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2025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点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分（北京时间）前递交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。</w:t>
      </w:r>
    </w:p>
    <w:p w14:paraId="248E682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5" w:name="bookmark2"/>
      <w:bookmarkEnd w:id="5"/>
      <w:bookmarkStart w:id="6" w:name="_Toc22991"/>
      <w:bookmarkStart w:id="7" w:name="_Toc18505"/>
      <w:bookmarkStart w:id="8" w:name="_Toc10039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二、项目基本情况</w:t>
      </w:r>
      <w:bookmarkEnd w:id="6"/>
      <w:bookmarkEnd w:id="7"/>
      <w:bookmarkEnd w:id="8"/>
      <w:bookmarkStart w:id="50" w:name="_GoBack"/>
      <w:bookmarkEnd w:id="50"/>
    </w:p>
    <w:p w14:paraId="161000E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GSZJ2025-SR-047</w:t>
      </w:r>
    </w:p>
    <w:p w14:paraId="64E6929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和济水务食堂劳务外包服务项目</w:t>
      </w:r>
    </w:p>
    <w:p w14:paraId="186AF36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bookmarkStart w:id="9" w:name="bookmark3"/>
      <w:bookmarkEnd w:id="9"/>
      <w:bookmarkStart w:id="10" w:name="_Toc31739"/>
      <w:bookmarkStart w:id="11" w:name="_Toc4735"/>
      <w:bookmarkStart w:id="12" w:name="_Toc29311"/>
      <w:bookmarkStart w:id="13" w:name="_Toc4789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3.项目类型：服务类</w:t>
      </w:r>
      <w:bookmarkEnd w:id="10"/>
    </w:p>
    <w:p w14:paraId="6DF5517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bookmarkStart w:id="14" w:name="_Toc14944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采购方式：竞争性磋商</w:t>
      </w:r>
      <w:bookmarkEnd w:id="14"/>
    </w:p>
    <w:p w14:paraId="6F3960C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bookmarkStart w:id="15" w:name="_Toc14954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5.预算金额：</w:t>
      </w:r>
      <w:bookmarkEnd w:id="15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16.2万元</w:t>
      </w:r>
    </w:p>
    <w:p w14:paraId="15A1B77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三、申请人的资格要求</w:t>
      </w:r>
      <w:bookmarkEnd w:id="11"/>
      <w:bookmarkEnd w:id="12"/>
      <w:bookmarkEnd w:id="13"/>
    </w:p>
    <w:p w14:paraId="59828F90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bookmarkStart w:id="16" w:name="_Toc16733"/>
      <w:bookmarkStart w:id="17" w:name="_Toc2260"/>
      <w:bookmarkStart w:id="18" w:name="_Toc18471"/>
      <w:r>
        <w:rPr>
          <w:rFonts w:hint="eastAsia" w:ascii="宋体" w:hAnsi="宋体" w:eastAsia="宋体" w:cs="宋体"/>
          <w:color w:val="auto"/>
          <w:sz w:val="24"/>
          <w:highlight w:val="none"/>
        </w:rPr>
        <w:t>（一）具有独立承担民事责任的能力：</w:t>
      </w:r>
      <w:r>
        <w:rPr>
          <w:rFonts w:hint="eastAsia" w:ascii="宋体" w:hAnsi="宋体"/>
          <w:spacing w:val="4"/>
          <w:sz w:val="24"/>
          <w:szCs w:val="24"/>
          <w:highlight w:val="none"/>
          <w:lang w:eastAsia="zh-CN"/>
        </w:rPr>
        <w:t>【</w:t>
      </w:r>
      <w:r>
        <w:rPr>
          <w:rFonts w:hint="eastAsia"/>
          <w:b w:val="0"/>
          <w:bCs w:val="0"/>
          <w:color w:val="auto"/>
          <w:sz w:val="24"/>
          <w:highlight w:val="none"/>
        </w:rPr>
        <w:t>提供</w:t>
      </w:r>
      <w:r>
        <w:rPr>
          <w:rFonts w:hint="eastAsia"/>
          <w:b/>
          <w:bCs/>
          <w:color w:val="auto"/>
          <w:sz w:val="24"/>
          <w:highlight w:val="none"/>
        </w:rPr>
        <w:t>《</w:t>
      </w:r>
      <w:r>
        <w:rPr>
          <w:rFonts w:hint="eastAsia" w:eastAsia="宋体"/>
          <w:b/>
          <w:bCs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/>
          <w:b/>
          <w:bCs/>
          <w:color w:val="auto"/>
          <w:sz w:val="24"/>
          <w:highlight w:val="none"/>
        </w:rPr>
        <w:t>资格信用承诺函》</w:t>
      </w:r>
      <w:r>
        <w:rPr>
          <w:rFonts w:hint="eastAsia"/>
          <w:b/>
          <w:bCs/>
          <w:color w:val="auto"/>
          <w:sz w:val="24"/>
          <w:highlight w:val="none"/>
          <w:lang w:val="en-US" w:eastAsia="zh-CN"/>
        </w:rPr>
        <w:t>或</w:t>
      </w:r>
      <w:r>
        <w:rPr>
          <w:rFonts w:hint="eastAsia" w:ascii="宋体" w:hAnsi="宋体"/>
          <w:spacing w:val="4"/>
          <w:sz w:val="24"/>
          <w:szCs w:val="24"/>
          <w:highlight w:val="none"/>
        </w:rPr>
        <w:t>提供法人或者其他组织的营业执照</w:t>
      </w:r>
      <w:r>
        <w:rPr>
          <w:rFonts w:hint="eastAsia" w:ascii="宋体" w:hAnsi="宋体"/>
          <w:spacing w:val="4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/>
          <w:spacing w:val="4"/>
          <w:sz w:val="24"/>
          <w:szCs w:val="24"/>
          <w:highlight w:val="none"/>
        </w:rPr>
        <w:t>法人授权委托书及委托代理人身份证（法定代表人参加则只需提供身份证），自然人投标提供身份证明</w:t>
      </w:r>
      <w:r>
        <w:rPr>
          <w:rFonts w:hint="eastAsia" w:ascii="宋体" w:hAnsi="宋体"/>
          <w:spacing w:val="4"/>
          <w:sz w:val="24"/>
          <w:szCs w:val="24"/>
          <w:highlight w:val="none"/>
          <w:lang w:eastAsia="zh-CN"/>
        </w:rPr>
        <w:t>】</w:t>
      </w:r>
    </w:p>
    <w:p w14:paraId="68943762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（二）具有良好的商业信誉和健全的财务会计制度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；</w:t>
      </w:r>
    </w:p>
    <w:p w14:paraId="2FA7372C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【</w:t>
      </w:r>
      <w:r>
        <w:rPr>
          <w:rFonts w:hint="eastAsia" w:ascii="宋体" w:hAnsi="宋体" w:eastAsia="宋体" w:cs="宋体"/>
          <w:sz w:val="24"/>
          <w:highlight w:val="none"/>
        </w:rPr>
        <w:t>提供</w:t>
      </w:r>
      <w:r>
        <w:rPr>
          <w:rFonts w:hint="eastAsia" w:ascii="宋体" w:hAnsi="宋体" w:eastAsia="宋体" w:cs="宋体"/>
          <w:b/>
          <w:sz w:val="24"/>
          <w:highlight w:val="none"/>
        </w:rPr>
        <w:t>《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24"/>
          <w:highlight w:val="none"/>
        </w:rPr>
        <w:t>资格信用承诺函》</w:t>
      </w:r>
      <w:r>
        <w:rPr>
          <w:rFonts w:hint="eastAsia" w:ascii="宋体" w:hAnsi="宋体" w:eastAsia="宋体" w:cs="宋体"/>
          <w:b/>
          <w:bCs w:val="0"/>
          <w:sz w:val="24"/>
          <w:highlight w:val="none"/>
          <w:u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提供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</w:rPr>
        <w:t>202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</w:rPr>
        <w:t>年度或202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u w:val="none"/>
        </w:rPr>
        <w:t>年度审计报告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，或者提供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截止时间前一个月内开户银行出具的资信证明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（提供资信证明的须提供基本存款账户信息）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，提供任一种均可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】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58972F73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1"/>
          <w:highlight w:val="none"/>
          <w:lang w:val="en-US" w:eastAsia="en-US" w:bidi="ar-SA"/>
        </w:rPr>
        <w:t>（三）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有依法缴纳税收和社会保障资金的良好记录的证明文件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；</w:t>
      </w:r>
    </w:p>
    <w:p w14:paraId="5B67CCFF">
      <w:pPr>
        <w:numPr>
          <w:ilvl w:val="0"/>
          <w:numId w:val="0"/>
        </w:num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【提供</w:t>
      </w:r>
      <w:r>
        <w:rPr>
          <w:rFonts w:hint="eastAsia" w:ascii="宋体" w:hAnsi="宋体" w:eastAsia="宋体" w:cs="宋体"/>
          <w:b/>
          <w:sz w:val="24"/>
          <w:highlight w:val="none"/>
        </w:rPr>
        <w:t>《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24"/>
          <w:highlight w:val="none"/>
        </w:rPr>
        <w:t>资格信用承诺函》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提供开标前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不含开标当月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六个月内任意一个月的缴纳税收和缴纳社会保障资金的证明材料；依法免税或不需要缴纳社会保障资金的供应商，应当提供相关文件证明其依法免税或不需要缴纳社会保障资金（复印件加盖公章）】。</w:t>
      </w:r>
    </w:p>
    <w:p w14:paraId="31171BC7">
      <w:pPr>
        <w:numPr>
          <w:ilvl w:val="0"/>
          <w:numId w:val="0"/>
        </w:num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（四）具有履行合同所必需的设备和专业技术能力；</w:t>
      </w:r>
    </w:p>
    <w:p w14:paraId="383AF664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【</w:t>
      </w:r>
      <w:r>
        <w:rPr>
          <w:rFonts w:hint="eastAsia" w:ascii="宋体" w:hAnsi="宋体" w:eastAsia="宋体" w:cs="宋体"/>
          <w:sz w:val="24"/>
          <w:highlight w:val="none"/>
        </w:rPr>
        <w:t>提供</w:t>
      </w:r>
      <w:r>
        <w:rPr>
          <w:rFonts w:hint="eastAsia" w:ascii="宋体" w:hAnsi="宋体" w:eastAsia="宋体" w:cs="宋体"/>
          <w:b/>
          <w:sz w:val="24"/>
          <w:highlight w:val="none"/>
        </w:rPr>
        <w:t>《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24"/>
          <w:highlight w:val="none"/>
        </w:rPr>
        <w:t>资格信用承诺函》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提供承诺函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）】</w:t>
      </w:r>
    </w:p>
    <w:p w14:paraId="381483C2">
      <w:pPr>
        <w:numPr>
          <w:ilvl w:val="0"/>
          <w:numId w:val="0"/>
        </w:num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1"/>
          <w:highlight w:val="none"/>
          <w:lang w:val="en-US" w:eastAsia="zh-CN" w:bidi="ar-SA"/>
        </w:rPr>
        <w:t>（五）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参加政府招标活动前三年内，在经营活动中没有重大违法记录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；</w:t>
      </w:r>
    </w:p>
    <w:p w14:paraId="7AD88616">
      <w:pPr>
        <w:numPr>
          <w:ilvl w:val="0"/>
          <w:numId w:val="0"/>
        </w:num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【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提供</w:t>
      </w:r>
      <w:r>
        <w:rPr>
          <w:rFonts w:hint="eastAsia" w:ascii="宋体" w:hAnsi="宋体" w:eastAsia="宋体" w:cs="宋体"/>
          <w:b/>
          <w:sz w:val="24"/>
          <w:highlight w:val="none"/>
        </w:rPr>
        <w:t>《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24"/>
          <w:highlight w:val="none"/>
        </w:rPr>
        <w:t>资格信用承诺函》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提供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自我书面声明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）】。</w:t>
      </w:r>
    </w:p>
    <w:p w14:paraId="5DD21C00">
      <w:pPr>
        <w:shd w:val="clear" w:color="auto" w:fill="auto"/>
        <w:spacing w:line="360" w:lineRule="auto"/>
        <w:ind w:left="0" w:leftChars="0" w:firstLine="420" w:firstLineChars="175"/>
        <w:outlineLvl w:val="2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（六）法律、行政法规规定的其他条件: </w:t>
      </w:r>
    </w:p>
    <w:p w14:paraId="0D383C2F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①单位负责人为同一人或者存在直接控股、管理关系的不同供应商，不得参加同一合同项下的采购活动；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（告知项，无需提供证明材料）</w:t>
      </w:r>
    </w:p>
    <w:p w14:paraId="3752DCB7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②为采购项目提供整体设计、规范编制或者项目管理、监理、检测等服务的投标人不得参加该采购项目的采购活动；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（告知项，无需提供证明材料）</w:t>
      </w:r>
    </w:p>
    <w:p w14:paraId="662E7788">
      <w:pPr>
        <w:shd w:val="clear" w:color="auto" w:fill="auto"/>
        <w:spacing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③供应商被“信用中国”网站列入失信被执行人和重大税收违法失信主体的、被“中国政府采购网”网站列入政府采购严重违法失信行为记录名单 (处罚期限尚未届满的)，不得参与本项目的采购活动。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（告知项，无需提供证明材料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以现场查询为准）</w:t>
      </w:r>
    </w:p>
    <w:p w14:paraId="0C7FE9D4">
      <w:pPr>
        <w:widowControl/>
        <w:numPr>
          <w:ilvl w:val="0"/>
          <w:numId w:val="0"/>
        </w:numPr>
        <w:tabs>
          <w:tab w:val="left" w:pos="0"/>
        </w:tabs>
        <w:adjustRightInd w:val="0"/>
        <w:snapToGrid w:val="0"/>
        <w:spacing w:line="360" w:lineRule="auto"/>
        <w:ind w:left="283" w:leftChars="0"/>
        <w:outlineLvl w:val="1"/>
        <w:rPr>
          <w:rFonts w:hint="default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auto"/>
          <w:sz w:val="24"/>
          <w:highlight w:val="none"/>
          <w:lang w:val="en-US" w:eastAsia="zh-CN"/>
        </w:rPr>
        <w:t>七</w:t>
      </w:r>
      <w:r>
        <w:rPr>
          <w:rFonts w:hint="eastAsia" w:ascii="宋体" w:hAnsi="宋体" w:cs="宋体"/>
          <w:b w:val="0"/>
          <w:bCs w:val="0"/>
          <w:color w:val="auto"/>
          <w:sz w:val="24"/>
          <w:highlight w:val="none"/>
          <w:lang w:eastAsia="zh-CN"/>
        </w:rPr>
        <w:t>）本项目的特定资格要求：</w:t>
      </w:r>
      <w:r>
        <w:rPr>
          <w:rFonts w:hint="eastAsia" w:ascii="宋体" w:hAnsi="宋体" w:eastAsia="宋体" w:cs="Times New Roman"/>
          <w:b w:val="0"/>
          <w:bCs w:val="0"/>
          <w:spacing w:val="4"/>
          <w:sz w:val="24"/>
          <w:szCs w:val="24"/>
          <w:highlight w:val="none"/>
          <w:lang w:val="en-US" w:eastAsia="zh-CN"/>
        </w:rPr>
        <w:t>无</w:t>
      </w:r>
    </w:p>
    <w:p w14:paraId="79A3A86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四、采购文件领取</w:t>
      </w:r>
      <w:bookmarkEnd w:id="16"/>
      <w:bookmarkEnd w:id="17"/>
      <w:bookmarkEnd w:id="18"/>
    </w:p>
    <w:p w14:paraId="778B3FE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1、采购文件领取方式：登录阳光采购服务平台供应商系统网上下载 </w:t>
      </w:r>
    </w:p>
    <w:p w14:paraId="0C658B0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19" w:name="_Toc25837"/>
      <w:bookmarkStart w:id="20" w:name="_Toc25324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2、采购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文件领取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截止时间：</w:t>
      </w:r>
      <w:bookmarkEnd w:id="19"/>
      <w:bookmarkEnd w:id="20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2025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月   日</w:t>
      </w:r>
    </w:p>
    <w:p w14:paraId="13380DD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3、采购文件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领取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地点：阳光采购服务平台（www.ygcgfwpt.com）</w:t>
      </w:r>
    </w:p>
    <w:p w14:paraId="15B2982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21" w:name="_Toc18692"/>
      <w:bookmarkStart w:id="22" w:name="_Toc1782"/>
      <w:bookmarkStart w:id="23" w:name="_Toc29300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五、响应文件提交</w:t>
      </w:r>
      <w:bookmarkEnd w:id="21"/>
      <w:bookmarkEnd w:id="22"/>
      <w:bookmarkEnd w:id="23"/>
    </w:p>
    <w:p w14:paraId="144B5A2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1、递交方式：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响应供应商必须在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截止时间前将电子响应文件上传至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上饶市阳光采购服务平台电子交易系统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（网址https://www.ygcgfwpt.com/），逾期作无效投标（响应）处理。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纸质文件（如保函原件等）需现场递交。</w:t>
      </w:r>
    </w:p>
    <w:p w14:paraId="620B810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2、递交截止时间：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2025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点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分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（北京时间）</w:t>
      </w:r>
    </w:p>
    <w:p w14:paraId="0AA25C2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24" w:name="_Toc19002"/>
      <w:bookmarkStart w:id="25" w:name="_Toc3296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签到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地点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上饶市信州区锦绣路2号广信大厦东楼（A栋）3楼</w:t>
      </w:r>
      <w:bookmarkEnd w:id="24"/>
      <w:bookmarkEnd w:id="25"/>
    </w:p>
    <w:p w14:paraId="024CA86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26" w:name="_Toc26636"/>
      <w:bookmarkStart w:id="27" w:name="_Toc15173"/>
      <w:bookmarkStart w:id="28" w:name="_Toc3969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六、开标时间和地点</w:t>
      </w:r>
      <w:bookmarkEnd w:id="26"/>
      <w:bookmarkEnd w:id="27"/>
      <w:bookmarkEnd w:id="28"/>
    </w:p>
    <w:p w14:paraId="0845435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1、开标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时间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2025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点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</w:rPr>
        <w:t>分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（北京时间）</w:t>
      </w:r>
    </w:p>
    <w:p w14:paraId="3F493C1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开标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上饶市信州区锦绣路2号广信大厦东楼（A栋）3楼</w:t>
      </w:r>
    </w:p>
    <w:p w14:paraId="4356C75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29" w:name="_Toc8968"/>
      <w:bookmarkStart w:id="30" w:name="_Toc14860"/>
      <w:bookmarkStart w:id="31" w:name="_Toc13926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七、发布公告的媒介</w:t>
      </w:r>
      <w:bookmarkEnd w:id="29"/>
      <w:bookmarkEnd w:id="30"/>
      <w:bookmarkEnd w:id="31"/>
    </w:p>
    <w:p w14:paraId="657F10C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1、本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公告在阳光采购服务平台（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https://www.ygcgfwpt.com/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）发布。</w:t>
      </w:r>
    </w:p>
    <w:p w14:paraId="2A0B694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2、在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其他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媒体发布的招标公告，公告内容以本招标公告指定媒体发布的公告为准；公告期限自本招标公告指定媒体最先发布公告之日起算。</w:t>
      </w:r>
    </w:p>
    <w:p w14:paraId="273CDE1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32" w:name="_Toc14681"/>
      <w:bookmarkStart w:id="33" w:name="_Toc13319"/>
      <w:bookmarkStart w:id="34" w:name="_Toc28504"/>
      <w:bookmarkStart w:id="35" w:name="_Toc15701"/>
      <w:bookmarkStart w:id="36" w:name="_Toc3866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八、</w:t>
      </w:r>
      <w:bookmarkEnd w:id="32"/>
      <w:bookmarkEnd w:id="33"/>
      <w:bookmarkStart w:id="37" w:name="_Toc32169"/>
      <w:bookmarkStart w:id="38" w:name="_Toc9804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对本次招标提出询问，请按以下方式联系：</w:t>
      </w:r>
      <w:bookmarkEnd w:id="34"/>
      <w:bookmarkEnd w:id="35"/>
      <w:bookmarkEnd w:id="36"/>
    </w:p>
    <w:p w14:paraId="190A6C4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bookmarkStart w:id="39" w:name="_Toc17970"/>
      <w:bookmarkStart w:id="40" w:name="_Toc11329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1.采购人信息</w:t>
      </w:r>
      <w:bookmarkEnd w:id="37"/>
      <w:bookmarkEnd w:id="38"/>
      <w:bookmarkEnd w:id="39"/>
      <w:bookmarkEnd w:id="40"/>
    </w:p>
    <w:p w14:paraId="165E335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bookmarkStart w:id="41" w:name="_Toc7727"/>
      <w:bookmarkStart w:id="42" w:name="_Toc13186"/>
      <w:bookmarkStart w:id="43" w:name="_Toc4796"/>
      <w:bookmarkStart w:id="44" w:name="_Toc3688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名称：上饶市和济水务有限公司</w:t>
      </w:r>
    </w:p>
    <w:p w14:paraId="1DF7D52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地址：江西省上饶经济技术开发区思瑞达1号院子南50米</w:t>
      </w:r>
    </w:p>
    <w:p w14:paraId="53963D1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联系人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：黄女士</w:t>
      </w:r>
    </w:p>
    <w:p w14:paraId="70BE3E0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联系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方式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：15397849128</w:t>
      </w:r>
    </w:p>
    <w:p w14:paraId="1F99893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2.采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代理机构信息</w:t>
      </w:r>
      <w:bookmarkEnd w:id="41"/>
      <w:bookmarkEnd w:id="42"/>
      <w:bookmarkEnd w:id="43"/>
      <w:bookmarkEnd w:id="44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</w:t>
      </w:r>
    </w:p>
    <w:p w14:paraId="740FBB3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上饶国属工程造价咨询有限公司</w:t>
      </w:r>
    </w:p>
    <w:p w14:paraId="088519A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上饶市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锦绣路2号A座三楼</w:t>
      </w:r>
    </w:p>
    <w:p w14:paraId="564D1E3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highlight w:val="none"/>
          <w:lang w:eastAsia="zh-CN"/>
        </w:rPr>
        <w:t>联系人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祝女士</w:t>
      </w:r>
    </w:p>
    <w:p w14:paraId="073A1B3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联系方式：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19065851658</w:t>
      </w:r>
    </w:p>
    <w:p w14:paraId="3AF208D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beforeAutospacing="0" w:line="360" w:lineRule="auto"/>
        <w:ind w:left="107"/>
        <w:textAlignment w:val="baseline"/>
        <w:outlineLvl w:val="1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45" w:name="_Toc12392"/>
      <w:bookmarkStart w:id="46" w:name="_Toc28972"/>
      <w:bookmarkStart w:id="47" w:name="_Toc31855"/>
      <w:bookmarkStart w:id="48" w:name="_Toc4064"/>
      <w:bookmarkStart w:id="49" w:name="_Toc25101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九、其他说明：</w:t>
      </w:r>
      <w:bookmarkEnd w:id="45"/>
      <w:bookmarkEnd w:id="46"/>
      <w:bookmarkEnd w:id="47"/>
      <w:bookmarkEnd w:id="48"/>
      <w:bookmarkEnd w:id="49"/>
    </w:p>
    <w:p w14:paraId="61E783E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潜在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必须在上饶市阳光采购服务平台（网址：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u w:val="none"/>
          <w:lang w:val="en-US" w:eastAsia="zh-CN"/>
        </w:rPr>
        <w:t>https://www.ygcgfwpt.com/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） 注册并办理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阳光采购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 xml:space="preserve"> CA 数字证书和电子签章。具体要求详见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u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上饶市阳光采购服务平台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-服务指南-CA证书在线办理流程”（网址：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u w:val="none"/>
          <w:lang w:val="en-US" w:eastAsia="zh-CN"/>
        </w:rPr>
        <w:t>https://www.ygcgfwpt.com/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）。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u w:val="none"/>
          <w:lang w:eastAsia="zh-CN"/>
        </w:rPr>
        <w:t>潜在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u w:val="none"/>
          <w:lang w:eastAsia="zh-CN"/>
        </w:rPr>
        <w:t>未使用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u w:val="none"/>
          <w:lang w:val="en-US" w:eastAsia="zh-CN"/>
        </w:rPr>
        <w:t>本单位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u w:val="none"/>
          <w:lang w:eastAsia="zh-CN"/>
        </w:rPr>
        <w:t xml:space="preserve"> CA 数字证书在上饶市阳光采购服务平台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下载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文件的，</w:t>
      </w:r>
      <w:r>
        <w:rPr>
          <w:rFonts w:hint="eastAsia" w:ascii="宋体" w:hAnsi="宋体" w:eastAsia="宋体" w:cs="宋体"/>
          <w:strike w:val="0"/>
          <w:dstrike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视为未获取磋商文件，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不得参加本项目的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eastAsia="zh-CN"/>
        </w:rPr>
        <w:t>活动；</w:t>
      </w:r>
    </w:p>
    <w:p w14:paraId="39AD341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本项目采用“不见面开标 ”，投标人无需到达开标现场。注意事项详见招标文件第二章，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各供应商需保持在线进行远程线上报价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；</w:t>
      </w:r>
    </w:p>
    <w:p w14:paraId="2BD4A22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3.各投标人的法定代表委托人能够熟练的操作阳光采购交易系统，因业务不熟悉而导致的一切后果由投标人自行承担。一个项目只能有一个委托代理人。</w:t>
      </w:r>
    </w:p>
    <w:p w14:paraId="04537DF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Autospacing="0" w:line="360" w:lineRule="auto"/>
        <w:ind w:firstLine="480" w:firstLineChars="200"/>
        <w:textAlignment w:val="baseline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凡下载本采购文件的单位，必须就此采购项目的相关事宜详细咨询（如需参考资料可与采购单位或代理机构联系）。否则参与投标人即被视为已经充分了解了采购方的需求，成交后承担采购文件范围内的所有要求（参加采购活动前如有不明之处应向采购单位或代理机构详细了解）。</w:t>
      </w:r>
    </w:p>
    <w:p w14:paraId="75E0E859">
      <w:pPr>
        <w:widowControl/>
        <w:shd w:val="clear" w:color="auto" w:fill="auto"/>
        <w:adjustRightInd w:val="0"/>
        <w:snapToGrid w:val="0"/>
        <w:spacing w:line="360" w:lineRule="auto"/>
        <w:jc w:val="left"/>
        <w:rPr>
          <w:rFonts w:hint="eastAsia"/>
          <w:highlight w:val="none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wiss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4MGVkYTg5OTA5N2I0MjFiMjAzYzIyZmRhNzRjZGMifQ=="/>
    <w:docVar w:name="KSO_WPS_MARK_KEY" w:val="546353e4-f5b6-426e-b22b-4c7b2dbccd60"/>
  </w:docVars>
  <w:rsids>
    <w:rsidRoot w:val="1A887461"/>
    <w:rsid w:val="008F6003"/>
    <w:rsid w:val="00D0312B"/>
    <w:rsid w:val="035E68A3"/>
    <w:rsid w:val="03A17016"/>
    <w:rsid w:val="03F74D9F"/>
    <w:rsid w:val="05947B84"/>
    <w:rsid w:val="061301CB"/>
    <w:rsid w:val="06B94047"/>
    <w:rsid w:val="06BC1CFB"/>
    <w:rsid w:val="07253A06"/>
    <w:rsid w:val="080F7DEA"/>
    <w:rsid w:val="08B0365E"/>
    <w:rsid w:val="08F547D0"/>
    <w:rsid w:val="09212850"/>
    <w:rsid w:val="092308EF"/>
    <w:rsid w:val="0ACE05D7"/>
    <w:rsid w:val="0B60139D"/>
    <w:rsid w:val="0BA963F9"/>
    <w:rsid w:val="0D640E1A"/>
    <w:rsid w:val="0DDB034E"/>
    <w:rsid w:val="0DDE48EF"/>
    <w:rsid w:val="0E2E4F7C"/>
    <w:rsid w:val="0E6126EA"/>
    <w:rsid w:val="0E7B557A"/>
    <w:rsid w:val="10031B99"/>
    <w:rsid w:val="106D0E77"/>
    <w:rsid w:val="110D70EF"/>
    <w:rsid w:val="11F71588"/>
    <w:rsid w:val="12530D31"/>
    <w:rsid w:val="127160B9"/>
    <w:rsid w:val="128E1076"/>
    <w:rsid w:val="132A47AB"/>
    <w:rsid w:val="13B21AEC"/>
    <w:rsid w:val="13C65C08"/>
    <w:rsid w:val="14165691"/>
    <w:rsid w:val="142337AC"/>
    <w:rsid w:val="15772C22"/>
    <w:rsid w:val="159C5F4A"/>
    <w:rsid w:val="173210E7"/>
    <w:rsid w:val="175903B5"/>
    <w:rsid w:val="185120D2"/>
    <w:rsid w:val="1A887461"/>
    <w:rsid w:val="1BCE3F42"/>
    <w:rsid w:val="1C0320AA"/>
    <w:rsid w:val="1C0E0792"/>
    <w:rsid w:val="1E221452"/>
    <w:rsid w:val="1E370371"/>
    <w:rsid w:val="1E777D35"/>
    <w:rsid w:val="1F2875C6"/>
    <w:rsid w:val="1FCA5F89"/>
    <w:rsid w:val="1FDD7E73"/>
    <w:rsid w:val="208976EE"/>
    <w:rsid w:val="21225F24"/>
    <w:rsid w:val="2177721C"/>
    <w:rsid w:val="21EA2E0A"/>
    <w:rsid w:val="22320C2B"/>
    <w:rsid w:val="226A77DC"/>
    <w:rsid w:val="23B86448"/>
    <w:rsid w:val="25836471"/>
    <w:rsid w:val="27CC129C"/>
    <w:rsid w:val="28420DFD"/>
    <w:rsid w:val="29080688"/>
    <w:rsid w:val="29861F3A"/>
    <w:rsid w:val="29902FC0"/>
    <w:rsid w:val="299D08FE"/>
    <w:rsid w:val="29D0025E"/>
    <w:rsid w:val="2B32240F"/>
    <w:rsid w:val="2B6F22DB"/>
    <w:rsid w:val="2BB9277C"/>
    <w:rsid w:val="2C78525D"/>
    <w:rsid w:val="2DB514D6"/>
    <w:rsid w:val="2E904B19"/>
    <w:rsid w:val="2EBD519A"/>
    <w:rsid w:val="2F745BEB"/>
    <w:rsid w:val="2F8A6F2B"/>
    <w:rsid w:val="311517F8"/>
    <w:rsid w:val="31D5040B"/>
    <w:rsid w:val="328D3EDF"/>
    <w:rsid w:val="33096F8A"/>
    <w:rsid w:val="346F0C55"/>
    <w:rsid w:val="35177F82"/>
    <w:rsid w:val="35B80AC2"/>
    <w:rsid w:val="360E2410"/>
    <w:rsid w:val="366E1BB5"/>
    <w:rsid w:val="36E958B8"/>
    <w:rsid w:val="396C697F"/>
    <w:rsid w:val="39AA188F"/>
    <w:rsid w:val="3AA261B8"/>
    <w:rsid w:val="3AB87454"/>
    <w:rsid w:val="3AF5378A"/>
    <w:rsid w:val="3B3453A5"/>
    <w:rsid w:val="3B587B7A"/>
    <w:rsid w:val="3BB32DB7"/>
    <w:rsid w:val="3D4B798B"/>
    <w:rsid w:val="3D721DC4"/>
    <w:rsid w:val="3E030CD7"/>
    <w:rsid w:val="40103AFC"/>
    <w:rsid w:val="40B5093D"/>
    <w:rsid w:val="41091FA3"/>
    <w:rsid w:val="41913544"/>
    <w:rsid w:val="42444D26"/>
    <w:rsid w:val="44466BDE"/>
    <w:rsid w:val="46681A02"/>
    <w:rsid w:val="467E39F4"/>
    <w:rsid w:val="46C00957"/>
    <w:rsid w:val="48210B58"/>
    <w:rsid w:val="493E70EE"/>
    <w:rsid w:val="49506AC5"/>
    <w:rsid w:val="49DF7E57"/>
    <w:rsid w:val="4B6E2C5D"/>
    <w:rsid w:val="4B7B184B"/>
    <w:rsid w:val="4BA15448"/>
    <w:rsid w:val="4BE97D3E"/>
    <w:rsid w:val="4BFC5729"/>
    <w:rsid w:val="4C0A7950"/>
    <w:rsid w:val="4C0D5FD6"/>
    <w:rsid w:val="4CE7256D"/>
    <w:rsid w:val="4D6D36A4"/>
    <w:rsid w:val="4E9F5E68"/>
    <w:rsid w:val="4ECC2C58"/>
    <w:rsid w:val="50111992"/>
    <w:rsid w:val="50696968"/>
    <w:rsid w:val="509E2FFE"/>
    <w:rsid w:val="50CA7A72"/>
    <w:rsid w:val="52043FCD"/>
    <w:rsid w:val="52EA398C"/>
    <w:rsid w:val="53830FCA"/>
    <w:rsid w:val="53A77338"/>
    <w:rsid w:val="553F3CDA"/>
    <w:rsid w:val="56416678"/>
    <w:rsid w:val="56AE291B"/>
    <w:rsid w:val="56B301AF"/>
    <w:rsid w:val="580B282C"/>
    <w:rsid w:val="5824378D"/>
    <w:rsid w:val="58E56C7F"/>
    <w:rsid w:val="59146174"/>
    <w:rsid w:val="5A14208E"/>
    <w:rsid w:val="5AFC3AF1"/>
    <w:rsid w:val="5BD93E74"/>
    <w:rsid w:val="5C067BE4"/>
    <w:rsid w:val="5E2E46A2"/>
    <w:rsid w:val="5F124D18"/>
    <w:rsid w:val="61D130EA"/>
    <w:rsid w:val="61F86676"/>
    <w:rsid w:val="62EF305A"/>
    <w:rsid w:val="630A1B35"/>
    <w:rsid w:val="6448534A"/>
    <w:rsid w:val="66E932CD"/>
    <w:rsid w:val="672034EA"/>
    <w:rsid w:val="677C2825"/>
    <w:rsid w:val="67A01ADB"/>
    <w:rsid w:val="67E265E5"/>
    <w:rsid w:val="685C0420"/>
    <w:rsid w:val="68994431"/>
    <w:rsid w:val="68D922EE"/>
    <w:rsid w:val="6AA1366C"/>
    <w:rsid w:val="6B862014"/>
    <w:rsid w:val="6B8D67F1"/>
    <w:rsid w:val="6BE170B6"/>
    <w:rsid w:val="6ED05900"/>
    <w:rsid w:val="6F257B39"/>
    <w:rsid w:val="6F6B4CEC"/>
    <w:rsid w:val="6FC85320"/>
    <w:rsid w:val="70B54B83"/>
    <w:rsid w:val="70D66998"/>
    <w:rsid w:val="716B03C4"/>
    <w:rsid w:val="7186538D"/>
    <w:rsid w:val="718C6708"/>
    <w:rsid w:val="73FC34BF"/>
    <w:rsid w:val="742B440C"/>
    <w:rsid w:val="743657EA"/>
    <w:rsid w:val="75B92288"/>
    <w:rsid w:val="762A0789"/>
    <w:rsid w:val="767C173D"/>
    <w:rsid w:val="769B5479"/>
    <w:rsid w:val="776809B0"/>
    <w:rsid w:val="77DD22FF"/>
    <w:rsid w:val="79091805"/>
    <w:rsid w:val="799D5BEC"/>
    <w:rsid w:val="7A665333"/>
    <w:rsid w:val="7BE83F68"/>
    <w:rsid w:val="7C2D2CE3"/>
    <w:rsid w:val="7C9B2E0D"/>
    <w:rsid w:val="7DDC4A6F"/>
    <w:rsid w:val="7EFC2797"/>
    <w:rsid w:val="7FB113BF"/>
    <w:rsid w:val="BE781FE4"/>
    <w:rsid w:val="EEE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right="1"/>
      <w:jc w:val="center"/>
      <w:outlineLvl w:val="0"/>
    </w:pPr>
    <w:rPr>
      <w:rFonts w:ascii="黑体" w:hAnsi="黑体" w:eastAsia="黑体" w:cs="黑体"/>
      <w:b/>
      <w:bCs/>
      <w:sz w:val="84"/>
      <w:szCs w:val="84"/>
      <w:lang w:val="zh-CN" w:bidi="zh-CN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rPr>
      <w:rFonts w:ascii="仿宋_GB2312" w:hAnsi="宋体" w:eastAsia="仿宋_GB2312"/>
      <w:sz w:val="32"/>
      <w:szCs w:val="32"/>
    </w:rPr>
  </w:style>
  <w:style w:type="paragraph" w:styleId="6">
    <w:name w:val="toc 2"/>
    <w:basedOn w:val="1"/>
    <w:next w:val="1"/>
    <w:qFormat/>
    <w:uiPriority w:val="1"/>
    <w:pPr>
      <w:spacing w:before="2"/>
      <w:ind w:left="592"/>
    </w:pPr>
    <w:rPr>
      <w:rFonts w:ascii="宋体" w:hAnsi="宋体" w:cs="宋体"/>
      <w:szCs w:val="21"/>
      <w:lang w:val="zh-CN" w:bidi="zh-CN"/>
    </w:r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  <w:rPr>
      <w:szCs w:val="24"/>
    </w:rPr>
  </w:style>
  <w:style w:type="paragraph" w:styleId="8">
    <w:name w:val="Plain Text"/>
    <w:basedOn w:val="1"/>
    <w:next w:val="9"/>
    <w:qFormat/>
    <w:uiPriority w:val="99"/>
    <w:pPr>
      <w:ind w:firstLine="560" w:firstLineChars="200"/>
    </w:pPr>
    <w:rPr>
      <w:szCs w:val="22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24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toc 1"/>
    <w:basedOn w:val="1"/>
    <w:next w:val="1"/>
    <w:qFormat/>
    <w:uiPriority w:val="0"/>
    <w:pPr>
      <w:tabs>
        <w:tab w:val="right" w:leader="dot" w:pos="10070"/>
      </w:tabs>
      <w:spacing w:line="840" w:lineRule="exact"/>
      <w:ind w:left="1152" w:hanging="1152" w:hangingChars="360"/>
    </w:pPr>
  </w:style>
  <w:style w:type="paragraph" w:styleId="12">
    <w:name w:val="Normal (Web)"/>
    <w:basedOn w:val="1"/>
    <w:unhideWhenUsed/>
    <w:qFormat/>
    <w:uiPriority w:val="1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3">
    <w:name w:val="Body Text First Indent"/>
    <w:basedOn w:val="5"/>
    <w:qFormat/>
    <w:uiPriority w:val="0"/>
    <w:pPr>
      <w:ind w:firstLine="420" w:firstLineChars="100"/>
    </w:pPr>
    <w:rPr>
      <w:sz w:val="21"/>
    </w:rPr>
  </w:style>
  <w:style w:type="paragraph" w:styleId="14">
    <w:name w:val="Body Text First Indent 2"/>
    <w:basedOn w:val="7"/>
    <w:next w:val="1"/>
    <w:qFormat/>
    <w:uiPriority w:val="99"/>
    <w:pPr>
      <w:ind w:firstLine="420" w:firstLineChars="200"/>
    </w:p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basedOn w:val="17"/>
    <w:qFormat/>
    <w:uiPriority w:val="0"/>
  </w:style>
  <w:style w:type="character" w:styleId="19">
    <w:name w:val="Hyperlink"/>
    <w:basedOn w:val="17"/>
    <w:qFormat/>
    <w:uiPriority w:val="0"/>
    <w:rPr>
      <w:color w:val="0000FF"/>
      <w:u w:val="none"/>
    </w:rPr>
  </w:style>
  <w:style w:type="paragraph" w:customStyle="1" w:styleId="20">
    <w:name w:val="Normal Indent1"/>
    <w:basedOn w:val="1"/>
    <w:qFormat/>
    <w:uiPriority w:val="0"/>
    <w:pPr>
      <w:ind w:firstLine="420" w:firstLineChars="200"/>
    </w:pPr>
  </w:style>
  <w:style w:type="paragraph" w:customStyle="1" w:styleId="21">
    <w:name w:val="正文缩进1"/>
    <w:basedOn w:val="1"/>
    <w:qFormat/>
    <w:uiPriority w:val="0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方正小标宋简体" w:eastAsia="宋体" w:cs="方正小标宋简体"/>
      <w:color w:val="000000"/>
      <w:sz w:val="24"/>
      <w:szCs w:val="24"/>
      <w:lang w:val="en-US" w:eastAsia="zh-CN" w:bidi="ar-SA"/>
    </w:rPr>
  </w:style>
  <w:style w:type="paragraph" w:customStyle="1" w:styleId="23">
    <w:name w:val="[Normal]"/>
    <w:qFormat/>
    <w:uiPriority w:val="0"/>
    <w:rPr>
      <w:rFonts w:ascii="宋体" w:hAnsi="宋体" w:eastAsia="宋体" w:cs="Times New Roman"/>
      <w:sz w:val="24"/>
      <w:szCs w:val="22"/>
      <w:lang w:val="zh-CN" w:eastAsia="zh-CN" w:bidi="ar-SA"/>
    </w:rPr>
  </w:style>
  <w:style w:type="paragraph" w:customStyle="1" w:styleId="24">
    <w:name w:val="样式 小四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Arial"/>
      <w:sz w:val="24"/>
      <w:szCs w:val="22"/>
      <w:lang w:val="en-US" w:eastAsia="zh-CN" w:bidi="ar-SA"/>
    </w:rPr>
  </w:style>
  <w:style w:type="table" w:customStyle="1" w:styleId="2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Table Tex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1960</Words>
  <Characters>2165</Characters>
  <Lines>0</Lines>
  <Paragraphs>0</Paragraphs>
  <TotalTime>0</TotalTime>
  <ScaleCrop>false</ScaleCrop>
  <LinksUpToDate>false</LinksUpToDate>
  <CharactersWithSpaces>2282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2020-10-15T03:32:00Z</dcterms:created>
  <dc:creator>Administrator</dc:creator>
  <cp:lastModifiedBy>AB</cp:lastModifiedBy>
  <cp:lastPrinted>2023-02-25T05:21:00Z</cp:lastPrinted>
  <dcterms:modified xsi:type="dcterms:W3CDTF">2025-12-08T02:08:13Z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E8680EEA9B9546B88A33181FAD938CBB_13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